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34C67" w14:textId="62E5D090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57F2005" wp14:editId="6FFACC22">
            <wp:simplePos x="0" y="0"/>
            <wp:positionH relativeFrom="column">
              <wp:posOffset>-552450</wp:posOffset>
            </wp:positionH>
            <wp:positionV relativeFrom="paragraph">
              <wp:posOffset>0</wp:posOffset>
            </wp:positionV>
            <wp:extent cx="5731510" cy="1314450"/>
            <wp:effectExtent l="0" t="0" r="2540" b="0"/>
            <wp:wrapThrough wrapText="bothSides">
              <wp:wrapPolygon edited="0">
                <wp:start x="0" y="0"/>
                <wp:lineTo x="0" y="21287"/>
                <wp:lineTo x="21538" y="21287"/>
                <wp:lineTo x="21538" y="0"/>
                <wp:lineTo x="0" y="0"/>
              </wp:wrapPolygon>
            </wp:wrapThrough>
            <wp:docPr id="1026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C58A6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BD916B0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98D6813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1F25561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094FB1C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E4BFF66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B27887D" w14:textId="77777777" w:rsid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636BC80" w14:textId="79E246CA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</w:pPr>
      <w:r w:rsidRPr="00EF7B6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 xml:space="preserve">Introduction to the online Professional Learning Course for Further Maths Unit </w:t>
      </w:r>
      <w:r w:rsidR="00224822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>6</w:t>
      </w:r>
      <w:r w:rsidRPr="00EF7B64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GB"/>
        </w:rPr>
        <w:t xml:space="preserve"> (Mechanics).</w:t>
      </w:r>
    </w:p>
    <w:p w14:paraId="7CEA2D00" w14:textId="77777777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1FD9194" w14:textId="711D8BE4" w:rsidR="007B283E" w:rsidRDefault="007B283E" w:rsidP="007B28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course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is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split into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six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periods of study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each of two or three weeks,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that will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enable participants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study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content of the module and encounter possible teaching approaches in the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comfort of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their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homes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This will be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backed up by both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opportunity to email the tutor during the study period and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zoom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meeting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with the tutor 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at the end of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study period in which some exam style questions will be considered. </w:t>
      </w:r>
    </w:p>
    <w:p w14:paraId="208CAF3B" w14:textId="502B2DF1" w:rsidR="00C64461" w:rsidRDefault="00C64461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5103"/>
      </w:tblGrid>
      <w:tr w:rsidR="00C64461" w:rsidRPr="00521DDC" w14:paraId="17F4BDD3" w14:textId="1412F9FD" w:rsidTr="00521DDC">
        <w:tc>
          <w:tcPr>
            <w:tcW w:w="1555" w:type="dxa"/>
          </w:tcPr>
          <w:p w14:paraId="62940EA0" w14:textId="691F966B" w:rsidR="00C64461" w:rsidRPr="00521DDC" w:rsidRDefault="00C64461" w:rsidP="00EF7B6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Study Period 1</w:t>
            </w:r>
          </w:p>
        </w:tc>
        <w:tc>
          <w:tcPr>
            <w:tcW w:w="2409" w:type="dxa"/>
          </w:tcPr>
          <w:p w14:paraId="6501FA85" w14:textId="3F862749" w:rsidR="00C64461" w:rsidRPr="00521DDC" w:rsidRDefault="00C64461" w:rsidP="00EF7B64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Impulse and Momentum</w:t>
            </w:r>
          </w:p>
        </w:tc>
        <w:tc>
          <w:tcPr>
            <w:tcW w:w="5103" w:type="dxa"/>
          </w:tcPr>
          <w:p w14:paraId="6EB3D3DD" w14:textId="17B93A87" w:rsidR="00C64461" w:rsidRPr="00521DDC" w:rsidRDefault="00C64461" w:rsidP="00C64461">
            <w:pPr>
              <w:pStyle w:val="ListParagraph"/>
              <w:numPr>
                <w:ilvl w:val="0"/>
                <w:numId w:val="2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Impulse and Momentum in 2 and 3 dimensions</w:t>
            </w:r>
          </w:p>
          <w:p w14:paraId="370D27E4" w14:textId="409F7523" w:rsidR="00C64461" w:rsidRPr="00521DDC" w:rsidRDefault="00C64461" w:rsidP="00C6446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Coefficient of restitution in 2 and 3 dimensions</w:t>
            </w:r>
          </w:p>
        </w:tc>
      </w:tr>
      <w:tr w:rsidR="00C64461" w:rsidRPr="00521DDC" w14:paraId="77409EE5" w14:textId="0EC02C86" w:rsidTr="00521DDC">
        <w:tc>
          <w:tcPr>
            <w:tcW w:w="1555" w:type="dxa"/>
          </w:tcPr>
          <w:p w14:paraId="232304A5" w14:textId="21A24BCE" w:rsidR="00C64461" w:rsidRPr="00521DDC" w:rsidRDefault="00C64461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Study Period 2</w:t>
            </w:r>
          </w:p>
        </w:tc>
        <w:tc>
          <w:tcPr>
            <w:tcW w:w="2409" w:type="dxa"/>
          </w:tcPr>
          <w:p w14:paraId="1176023D" w14:textId="09190FD3" w:rsidR="00C64461" w:rsidRPr="00521DDC" w:rsidRDefault="00C64461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Statics 1</w:t>
            </w:r>
          </w:p>
        </w:tc>
        <w:tc>
          <w:tcPr>
            <w:tcW w:w="5103" w:type="dxa"/>
          </w:tcPr>
          <w:p w14:paraId="41942ACA" w14:textId="77777777" w:rsidR="00C64461" w:rsidRPr="00521DDC" w:rsidRDefault="00C64461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Moments</w:t>
            </w:r>
          </w:p>
          <w:p w14:paraId="45B583D8" w14:textId="77777777" w:rsidR="00C64461" w:rsidRPr="00521DDC" w:rsidRDefault="00C64461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Centre of mass of </w:t>
            </w:r>
            <w:r w:rsidR="00521DDC"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systems of particles</w:t>
            </w:r>
          </w:p>
          <w:p w14:paraId="7D78CA39" w14:textId="06FE4548" w:rsidR="00521DDC" w:rsidRPr="00521DDC" w:rsidRDefault="00521DDC" w:rsidP="00C64461">
            <w:pPr>
              <w:pStyle w:val="ListParagraph"/>
              <w:numPr>
                <w:ilvl w:val="0"/>
                <w:numId w:val="3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Centre of mass of simple laminas</w:t>
            </w:r>
          </w:p>
        </w:tc>
      </w:tr>
      <w:tr w:rsidR="00C64461" w:rsidRPr="00521DDC" w14:paraId="1156BF8C" w14:textId="1DF2D9BB" w:rsidTr="00521DDC">
        <w:tc>
          <w:tcPr>
            <w:tcW w:w="1555" w:type="dxa"/>
          </w:tcPr>
          <w:p w14:paraId="051CB500" w14:textId="507D4946" w:rsidR="00C64461" w:rsidRPr="00521DDC" w:rsidRDefault="00C64461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Study Period 3</w:t>
            </w:r>
          </w:p>
        </w:tc>
        <w:tc>
          <w:tcPr>
            <w:tcW w:w="2409" w:type="dxa"/>
          </w:tcPr>
          <w:p w14:paraId="39587394" w14:textId="73A18D9E" w:rsidR="00C64461" w:rsidRPr="00521DDC" w:rsidRDefault="00521DDC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Statics 2</w:t>
            </w:r>
          </w:p>
        </w:tc>
        <w:tc>
          <w:tcPr>
            <w:tcW w:w="5103" w:type="dxa"/>
          </w:tcPr>
          <w:p w14:paraId="7871B004" w14:textId="77777777" w:rsidR="00C64461" w:rsidRPr="00521DDC" w:rsidRDefault="00521DDC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Centres of mass using Integration</w:t>
            </w:r>
          </w:p>
          <w:p w14:paraId="08979981" w14:textId="7297D365" w:rsidR="00521DDC" w:rsidRPr="00521DDC" w:rsidRDefault="00521DDC" w:rsidP="00521DDC">
            <w:pPr>
              <w:pStyle w:val="ListParagraph"/>
              <w:numPr>
                <w:ilvl w:val="0"/>
                <w:numId w:val="4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Further statics examples</w:t>
            </w:r>
          </w:p>
        </w:tc>
      </w:tr>
      <w:tr w:rsidR="00C64461" w:rsidRPr="00521DDC" w14:paraId="751E63DE" w14:textId="3AE890AD" w:rsidTr="00521DDC">
        <w:tc>
          <w:tcPr>
            <w:tcW w:w="1555" w:type="dxa"/>
          </w:tcPr>
          <w:p w14:paraId="47FF1BFA" w14:textId="4C624FCF" w:rsidR="00C64461" w:rsidRPr="00521DDC" w:rsidRDefault="00C64461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Study Period 4</w:t>
            </w:r>
          </w:p>
        </w:tc>
        <w:tc>
          <w:tcPr>
            <w:tcW w:w="2409" w:type="dxa"/>
          </w:tcPr>
          <w:p w14:paraId="20E10F8D" w14:textId="63BF4CB0" w:rsidR="00C64461" w:rsidRPr="00521DDC" w:rsidRDefault="00521DDC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Differential Equations in Mechanics</w:t>
            </w:r>
          </w:p>
        </w:tc>
        <w:tc>
          <w:tcPr>
            <w:tcW w:w="5103" w:type="dxa"/>
          </w:tcPr>
          <w:p w14:paraId="25DC29EF" w14:textId="77777777" w:rsidR="00C64461" w:rsidRPr="00521DDC" w:rsidRDefault="00521DDC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Differential Equations in Mechanics</w:t>
            </w:r>
          </w:p>
          <w:p w14:paraId="47571D78" w14:textId="77777777" w:rsidR="00521DDC" w:rsidRPr="00521DDC" w:rsidRDefault="00521DDC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Introduction to SHM</w:t>
            </w:r>
          </w:p>
          <w:p w14:paraId="07031A23" w14:textId="004F7CEB" w:rsidR="00521DDC" w:rsidRPr="00521DDC" w:rsidRDefault="00521DDC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The Kinematics of SHM</w:t>
            </w:r>
          </w:p>
        </w:tc>
      </w:tr>
      <w:tr w:rsidR="00C64461" w:rsidRPr="00521DDC" w14:paraId="1C6D0615" w14:textId="1D0E69AA" w:rsidTr="00521DDC">
        <w:tc>
          <w:tcPr>
            <w:tcW w:w="1555" w:type="dxa"/>
          </w:tcPr>
          <w:p w14:paraId="29EA3F13" w14:textId="0D45C9FE" w:rsidR="00C64461" w:rsidRPr="00521DDC" w:rsidRDefault="00C64461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Study Period 5</w:t>
            </w:r>
          </w:p>
        </w:tc>
        <w:tc>
          <w:tcPr>
            <w:tcW w:w="2409" w:type="dxa"/>
          </w:tcPr>
          <w:p w14:paraId="1A828675" w14:textId="5ABE6935" w:rsidR="00C64461" w:rsidRPr="00521DDC" w:rsidRDefault="00521DDC" w:rsidP="00C64461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SHM and partial SHM</w:t>
            </w:r>
          </w:p>
        </w:tc>
        <w:tc>
          <w:tcPr>
            <w:tcW w:w="5103" w:type="dxa"/>
          </w:tcPr>
          <w:p w14:paraId="55D3C198" w14:textId="68EE55CE" w:rsidR="00521DDC" w:rsidRPr="00521DDC" w:rsidRDefault="00521DDC" w:rsidP="00521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Examples of SHM</w:t>
            </w:r>
          </w:p>
          <w:p w14:paraId="37B6B8D0" w14:textId="47B31359" w:rsidR="00521DDC" w:rsidRPr="00521DDC" w:rsidRDefault="00521DDC" w:rsidP="00521DD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Incomplete oscillations</w:t>
            </w:r>
          </w:p>
          <w:p w14:paraId="4B434EC3" w14:textId="77777777" w:rsidR="00C64461" w:rsidRPr="00521DDC" w:rsidRDefault="00521DDC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Damped Motion</w:t>
            </w:r>
          </w:p>
          <w:p w14:paraId="4CF85408" w14:textId="6887CC70" w:rsidR="00521DDC" w:rsidRPr="00521DDC" w:rsidRDefault="00521DDC" w:rsidP="00521DDC">
            <w:pPr>
              <w:pStyle w:val="ListParagraph"/>
              <w:numPr>
                <w:ilvl w:val="0"/>
                <w:numId w:val="5"/>
              </w:numPr>
              <w:ind w:left="172" w:hanging="172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521DDC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Forced Oscillations</w:t>
            </w:r>
          </w:p>
        </w:tc>
      </w:tr>
    </w:tbl>
    <w:p w14:paraId="238E69A5" w14:textId="77777777" w:rsidR="00C64461" w:rsidRPr="00EF7B64" w:rsidRDefault="00C64461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CF093D1" w14:textId="32419467" w:rsidR="00EF7B64" w:rsidRPr="00EF7B64" w:rsidRDefault="00EF7B64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resources for each topic will be placed in a </w:t>
      </w:r>
      <w:r w:rsidR="003F52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folder on Microsoft Teams.</w:t>
      </w:r>
    </w:p>
    <w:p w14:paraId="6E6DFB84" w14:textId="77777777" w:rsidR="003F52BE" w:rsidRDefault="003F52BE" w:rsidP="00EF7B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1F90250" w14:textId="77777777" w:rsidR="00521DDC" w:rsidRDefault="00EF7B64" w:rsidP="00521D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resources for each session include</w:t>
      </w:r>
    </w:p>
    <w:p w14:paraId="0EAA5F14" w14:textId="6A0A234C" w:rsidR="00521DDC" w:rsidRPr="00521DDC" w:rsidRDefault="00EF7B64" w:rsidP="00521D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flipped classroom videos which, although initially prepared for </w:t>
      </w:r>
      <w:r w:rsidR="003F52BE"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use by A-level</w:t>
      </w: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students, will give a valuable overview of the concepts to be</w:t>
      </w:r>
      <w:r w:rsidR="003F52BE"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</w:t>
      </w: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ncountered.</w:t>
      </w:r>
    </w:p>
    <w:p w14:paraId="3A1AC999" w14:textId="5F530316" w:rsidR="00EF7B64" w:rsidRPr="00EF7B64" w:rsidRDefault="003F52BE" w:rsidP="00521DD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ower</w:t>
      </w:r>
      <w:r w:rsidR="00521DDC"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oints </w:t>
      </w: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which develop the major concepts and illustrate them with 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fully worked solutions to examples</w:t>
      </w:r>
      <w:r w:rsidRP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30B4B7AB" w14:textId="7EC06A68" w:rsidR="00EF7B64" w:rsidRPr="00EF7B64" w:rsidRDefault="00EF7B64" w:rsidP="00521D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Exercises (</w:t>
      </w:r>
      <w:r w:rsidR="00C644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 outline s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olutions) : </w:t>
      </w:r>
      <w:r w:rsidR="00C644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participants are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encourage</w:t>
      </w:r>
      <w:r w:rsidR="00C644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work </w:t>
      </w:r>
      <w:r w:rsidR="00C644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</w:t>
      </w:r>
      <w:r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hrough at least some of these!</w:t>
      </w:r>
    </w:p>
    <w:p w14:paraId="1FF6E0BB" w14:textId="6C8B4F98" w:rsidR="00EF7B64" w:rsidRPr="00EF7B64" w:rsidRDefault="00C64461" w:rsidP="00521D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Where appropriate,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E06585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Geogebra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files illustrating the concepts or providing animations of the physical situations.</w:t>
      </w:r>
    </w:p>
    <w:p w14:paraId="5D1835F5" w14:textId="390E2DF3" w:rsidR="00EF7B64" w:rsidRPr="00521DDC" w:rsidRDefault="00C64461" w:rsidP="00521DDC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709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final </w:t>
      </w:r>
      <w:r w:rsid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ower</w:t>
      </w:r>
      <w:r w:rsidR="00521DD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oint containing the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questions that we will be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considered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during the zoom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meeting</w:t>
      </w:r>
      <w:r w:rsidR="00EF7B64" w:rsidRPr="00EF7B6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 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participants are encouraged to</w:t>
      </w:r>
      <w:r w:rsidR="00EF7B64" w:rsidRPr="00EF7B6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have a go at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as many as possible</w:t>
      </w:r>
      <w:r w:rsidR="00EF7B64" w:rsidRPr="00EF7B6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 of these before the session so that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solution methods and any </w:t>
      </w:r>
      <w:r w:rsidR="00EF7B64" w:rsidRPr="00EF7B6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problems encountered can be discussed during the zoom </w:t>
      </w:r>
      <w:r>
        <w:rPr>
          <w:rFonts w:ascii="Arial" w:eastAsia="Times New Roman" w:hAnsi="Arial" w:cs="Arial"/>
          <w:color w:val="FF0000"/>
          <w:sz w:val="24"/>
          <w:szCs w:val="24"/>
          <w:lang w:eastAsia="en-GB"/>
        </w:rPr>
        <w:t>meeting</w:t>
      </w:r>
      <w:r w:rsidR="00EF7B64" w:rsidRPr="00EF7B64">
        <w:rPr>
          <w:rFonts w:ascii="Arial" w:eastAsia="Times New Roman" w:hAnsi="Arial" w:cs="Arial"/>
          <w:color w:val="FF0000"/>
          <w:sz w:val="24"/>
          <w:szCs w:val="24"/>
          <w:lang w:eastAsia="en-GB"/>
        </w:rPr>
        <w:t>.</w:t>
      </w:r>
    </w:p>
    <w:p w14:paraId="0680DFC2" w14:textId="78C2B42E" w:rsidR="00521DDC" w:rsidRDefault="00521DDC" w:rsidP="00EF7B64">
      <w:pPr>
        <w:rPr>
          <w:rFonts w:ascii="Arial" w:eastAsia="Times New Roman" w:hAnsi="Arial" w:cs="Arial"/>
          <w:color w:val="888888"/>
          <w:sz w:val="24"/>
          <w:szCs w:val="24"/>
          <w:shd w:val="clear" w:color="auto" w:fill="FFFFFF"/>
          <w:lang w:eastAsia="en-GB"/>
        </w:rPr>
      </w:pPr>
    </w:p>
    <w:p w14:paraId="2B561BF7" w14:textId="15DEE419" w:rsidR="00C64461" w:rsidRPr="00224822" w:rsidRDefault="00224822" w:rsidP="00EF7B64">
      <w:pPr>
        <w:rPr>
          <w:color w:val="00B050"/>
        </w:rPr>
      </w:pPr>
      <w:r w:rsidRPr="00224822">
        <w:rPr>
          <w:rFonts w:ascii="Arial" w:eastAsia="Times New Roman" w:hAnsi="Arial" w:cs="Arial"/>
          <w:i/>
          <w:iCs/>
          <w:color w:val="00B050"/>
          <w:sz w:val="24"/>
          <w:szCs w:val="24"/>
          <w:shd w:val="clear" w:color="auto" w:fill="FFFFFF"/>
          <w:lang w:eastAsia="en-GB"/>
        </w:rPr>
        <w:t>An extract from the study material from the first session can be found ……….</w:t>
      </w:r>
    </w:p>
    <w:sectPr w:rsidR="00C64461" w:rsidRPr="00224822" w:rsidSect="00C6446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2AE4"/>
    <w:multiLevelType w:val="hybridMultilevel"/>
    <w:tmpl w:val="3CB2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1A3"/>
    <w:multiLevelType w:val="hybridMultilevel"/>
    <w:tmpl w:val="0C42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7535E"/>
    <w:multiLevelType w:val="hybridMultilevel"/>
    <w:tmpl w:val="0642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74E9F"/>
    <w:multiLevelType w:val="hybridMultilevel"/>
    <w:tmpl w:val="D17AB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D0B90"/>
    <w:multiLevelType w:val="hybridMultilevel"/>
    <w:tmpl w:val="19B6C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F2D68"/>
    <w:multiLevelType w:val="hybridMultilevel"/>
    <w:tmpl w:val="61B0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23FB0"/>
    <w:multiLevelType w:val="multilevel"/>
    <w:tmpl w:val="1CB6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B64"/>
    <w:rsid w:val="00224822"/>
    <w:rsid w:val="003F52BE"/>
    <w:rsid w:val="00521DDC"/>
    <w:rsid w:val="007B283E"/>
    <w:rsid w:val="00C64461"/>
    <w:rsid w:val="00CB2205"/>
    <w:rsid w:val="00E06585"/>
    <w:rsid w:val="00E121FE"/>
    <w:rsid w:val="00E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9410"/>
  <w15:chartTrackingRefBased/>
  <w15:docId w15:val="{809B3EC7-DB11-44E2-AD91-E314D6A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4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A71D8D91582F47857D4DB711C947B5" ma:contentTypeVersion="5" ma:contentTypeDescription="Create a new document." ma:contentTypeScope="" ma:versionID="73754917ff813adeee65a8cc2ad04dad">
  <xsd:schema xmlns:xsd="http://www.w3.org/2001/XMLSchema" xmlns:xs="http://www.w3.org/2001/XMLSchema" xmlns:p="http://schemas.microsoft.com/office/2006/metadata/properties" xmlns:ns2="f208bba4-8f1d-4f2d-813a-1348873e8cb3" targetNamespace="http://schemas.microsoft.com/office/2006/metadata/properties" ma:root="true" ma:fieldsID="a35b45a0f0645ef8b4b6e00ca142c1b4" ns2:_="">
    <xsd:import namespace="f208bba4-8f1d-4f2d-813a-1348873e8c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8bba4-8f1d-4f2d-813a-1348873e8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7EAED-61DA-4BF7-92D7-C76D4EDA4793}"/>
</file>

<file path=customXml/itemProps2.xml><?xml version="1.0" encoding="utf-8"?>
<ds:datastoreItem xmlns:ds="http://schemas.openxmlformats.org/officeDocument/2006/customXml" ds:itemID="{AB03D627-FA90-4B22-B6CF-A57131F51C56}"/>
</file>

<file path=customXml/itemProps3.xml><?xml version="1.0" encoding="utf-8"?>
<ds:datastoreItem xmlns:ds="http://schemas.openxmlformats.org/officeDocument/2006/customXml" ds:itemID="{751A198A-F618-48F0-8929-4F2C5AAF08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Sanders</dc:creator>
  <cp:keywords/>
  <dc:description/>
  <cp:lastModifiedBy>Paul Sanders</cp:lastModifiedBy>
  <cp:revision>5</cp:revision>
  <dcterms:created xsi:type="dcterms:W3CDTF">2021-07-05T14:24:00Z</dcterms:created>
  <dcterms:modified xsi:type="dcterms:W3CDTF">2021-07-06T18:00:00Z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0x01010030A71D8D91582F47857D4DB711C947B5</vt:lpwstr>
  </property>
</Properties>
</file>